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10" w:rsidRDefault="001B0098">
      <w:pPr>
        <w:spacing w:before="200" w:after="480"/>
        <w:jc w:val="center"/>
        <w:rPr>
          <w:sz w:val="18"/>
          <w:szCs w:val="18"/>
        </w:rPr>
      </w:pPr>
      <w:r>
        <w:rPr>
          <w:b/>
          <w:color w:val="00AD4F"/>
          <w:sz w:val="48"/>
          <w:szCs w:val="48"/>
        </w:rPr>
        <w:t>Plan d'éco-responsabilité</w:t>
      </w:r>
      <w:bookmarkStart w:id="0" w:name="_GoBack"/>
      <w:bookmarkEnd w:id="0"/>
    </w:p>
    <w:tbl>
      <w:tblPr>
        <w:tblStyle w:val="a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6090"/>
      </w:tblGrid>
      <w:tr w:rsidR="00F92610">
        <w:tc>
          <w:tcPr>
            <w:tcW w:w="37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de la société de production</w:t>
            </w:r>
          </w:p>
        </w:tc>
        <w:tc>
          <w:tcPr>
            <w:tcW w:w="60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F92610">
        <w:tc>
          <w:tcPr>
            <w:tcW w:w="37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du projet</w:t>
            </w:r>
          </w:p>
        </w:tc>
        <w:tc>
          <w:tcPr>
            <w:tcW w:w="60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F92610">
        <w:tc>
          <w:tcPr>
            <w:tcW w:w="37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Numéro de contrat</w:t>
            </w:r>
          </w:p>
        </w:tc>
        <w:tc>
          <w:tcPr>
            <w:tcW w:w="60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F92610" w:rsidRDefault="00F92610">
      <w:pPr>
        <w:pStyle w:val="Titre1"/>
        <w:spacing w:before="0"/>
        <w:rPr>
          <w:sz w:val="10"/>
          <w:szCs w:val="10"/>
        </w:rPr>
      </w:pPr>
      <w:bookmarkStart w:id="1" w:name="_p6hutdnsg4in" w:colFirst="0" w:colLast="0"/>
      <w:bookmarkEnd w:id="1"/>
    </w:p>
    <w:p w:rsidR="00F92610" w:rsidRDefault="001B0098">
      <w:pPr>
        <w:pStyle w:val="Titre1"/>
      </w:pPr>
      <w:bookmarkStart w:id="2" w:name="_jsu33l5rny1u" w:colFirst="0" w:colLast="0"/>
      <w:bookmarkEnd w:id="2"/>
      <w:r>
        <w:t xml:space="preserve">Planification et </w:t>
      </w:r>
      <w:proofErr w:type="spellStart"/>
      <w:r>
        <w:t>pré-production</w:t>
      </w:r>
      <w:proofErr w:type="spellEnd"/>
    </w:p>
    <w:p w:rsidR="00F92610" w:rsidRDefault="001B0098">
      <w:pPr>
        <w:pStyle w:val="Titre2"/>
        <w:spacing w:before="0"/>
        <w:ind w:left="0" w:firstLine="0"/>
      </w:pPr>
      <w:bookmarkStart w:id="3" w:name="_i9fpco2dxrry" w:colFirst="0" w:colLast="0"/>
      <w:bookmarkEnd w:id="3"/>
      <w:r>
        <w:pict>
          <v:rect id="_x0000_i1025" style="width:0;height:1.5pt" o:hralign="center" o:hrstd="t" o:hr="t" fillcolor="#a0a0a0" stroked="f"/>
        </w:pict>
      </w:r>
    </w:p>
    <w:p w:rsidR="00F92610" w:rsidRDefault="00F92610">
      <w:pPr>
        <w:ind w:left="0" w:firstLine="0"/>
      </w:pPr>
    </w:p>
    <w:tbl>
      <w:tblPr>
        <w:tblStyle w:val="a0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35"/>
      </w:tblGrid>
      <w:tr w:rsidR="00F92610" w:rsidTr="0044074C">
        <w:trPr>
          <w:trHeight w:val="140"/>
        </w:trPr>
        <w:tc>
          <w:tcPr>
            <w:tcW w:w="9885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</w:pPr>
            <w:r>
              <w:rPr>
                <w:b/>
                <w:color w:val="FFFFFF"/>
                <w:sz w:val="20"/>
                <w:szCs w:val="20"/>
              </w:rPr>
              <w:t>Généralités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Désigner un champion en charge de la démarche éco-responsable dans votre production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votre engagement et les bonnes pratiques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vous avez un bureau de production et/ou un plateau de tournage, afficher de la signalétique afin de promouvoir des comportements durables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Suivez les 5 </w:t>
            </w:r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>« </w:t>
            </w:r>
            <w:r>
              <w:rPr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02122"/>
                <w:sz w:val="21"/>
                <w:szCs w:val="21"/>
                <w:highlight w:val="white"/>
              </w:rPr>
              <w:t> »</w:t>
            </w:r>
            <w:r>
              <w:rPr>
                <w:sz w:val="20"/>
                <w:szCs w:val="20"/>
              </w:rPr>
              <w:t xml:space="preserve"> :</w:t>
            </w:r>
          </w:p>
          <w:p w:rsidR="00F92610" w:rsidRDefault="001B00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Refuser ce dont on peut se passer - éviter de produire des déchets inutiles</w:t>
            </w:r>
          </w:p>
          <w:p w:rsidR="00F92610" w:rsidRDefault="001B00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Réduire la conso</w:t>
            </w:r>
            <w:r>
              <w:rPr>
                <w:sz w:val="20"/>
                <w:szCs w:val="20"/>
              </w:rPr>
              <w:t>mmation de biens - acheter seulement les quantités nécessaires</w:t>
            </w:r>
          </w:p>
          <w:p w:rsidR="00F92610" w:rsidRDefault="001B00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Réutiliser - donner une seconde vie aux choses, privilégier les achats d’occasion ou la location</w:t>
            </w:r>
          </w:p>
          <w:p w:rsidR="00F92610" w:rsidRDefault="001B00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Réparer - pourrait faire économiser de l'argent à votre production, tout en réduisant les déchet</w:t>
            </w:r>
            <w:r>
              <w:rPr>
                <w:sz w:val="20"/>
                <w:szCs w:val="20"/>
              </w:rPr>
              <w:t>s</w:t>
            </w:r>
          </w:p>
          <w:p w:rsidR="00F92610" w:rsidRDefault="001B00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Recycler ce que l'on ne peut pas réutiliser ou composter</w:t>
            </w:r>
          </w:p>
        </w:tc>
      </w:tr>
    </w:tbl>
    <w:p w:rsidR="00F92610" w:rsidRDefault="001B0098">
      <w:pPr>
        <w:pStyle w:val="Titre1"/>
      </w:pPr>
      <w:bookmarkStart w:id="4" w:name="_n3nihzjqyjze" w:colFirst="0" w:colLast="0"/>
      <w:bookmarkEnd w:id="4"/>
      <w:r>
        <w:br w:type="page"/>
      </w:r>
    </w:p>
    <w:p w:rsidR="00F92610" w:rsidRDefault="001B0098">
      <w:pPr>
        <w:pStyle w:val="Titre1"/>
      </w:pPr>
      <w:bookmarkStart w:id="5" w:name="_i2xhr3d8gbks" w:colFirst="0" w:colLast="0"/>
      <w:bookmarkEnd w:id="5"/>
      <w:r>
        <w:lastRenderedPageBreak/>
        <w:t>Production</w:t>
      </w:r>
    </w:p>
    <w:p w:rsidR="00F92610" w:rsidRDefault="001B0098">
      <w:pPr>
        <w:pStyle w:val="Titre2"/>
        <w:spacing w:before="0"/>
        <w:ind w:left="0" w:firstLine="0"/>
      </w:pPr>
      <w:bookmarkStart w:id="6" w:name="_18xt2jsixi8q" w:colFirst="0" w:colLast="0"/>
      <w:bookmarkEnd w:id="6"/>
      <w:r>
        <w:pict>
          <v:rect id="_x0000_i1026" style="width:0;height:1.5pt" o:hralign="center" o:hrstd="t" o:hr="t" fillcolor="#a0a0a0" stroked="f"/>
        </w:pict>
      </w:r>
    </w:p>
    <w:p w:rsidR="00F92610" w:rsidRDefault="001B0098">
      <w:pPr>
        <w:pStyle w:val="Titre2"/>
        <w:spacing w:before="160"/>
        <w:ind w:left="0" w:firstLine="0"/>
      </w:pPr>
      <w:bookmarkStart w:id="7" w:name="_y5q5bhb6db71" w:colFirst="0" w:colLast="0"/>
      <w:bookmarkEnd w:id="7"/>
      <w:r>
        <w:t>Transport</w:t>
      </w:r>
    </w:p>
    <w:p w:rsidR="00F92610" w:rsidRDefault="001B0098">
      <w:pPr>
        <w:pStyle w:val="Titre2"/>
        <w:spacing w:before="0"/>
        <w:ind w:left="0" w:firstLine="0"/>
      </w:pPr>
      <w:bookmarkStart w:id="8" w:name="_gcgvq0pyjkxx" w:colFirst="0" w:colLast="0"/>
      <w:bookmarkEnd w:id="8"/>
      <w:r>
        <w:pict>
          <v:rect id="_x0000_i1027" style="width:0;height:1.5pt" o:hralign="center" o:hrstd="t" o:hr="t" fillcolor="#a0a0a0" stroked="f"/>
        </w:pict>
      </w:r>
    </w:p>
    <w:p w:rsidR="00F92610" w:rsidRDefault="00F92610">
      <w:pPr>
        <w:rPr>
          <w:sz w:val="10"/>
          <w:szCs w:val="10"/>
        </w:rPr>
      </w:pPr>
    </w:p>
    <w:tbl>
      <w:tblPr>
        <w:tblStyle w:val="a1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50"/>
      </w:tblGrid>
      <w:tr w:rsidR="00F92610" w:rsidTr="0044074C">
        <w:trPr>
          <w:trHeight w:val="21"/>
        </w:trPr>
        <w:tc>
          <w:tcPr>
            <w:tcW w:w="990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</w:pPr>
            <w:r>
              <w:rPr>
                <w:b/>
                <w:color w:val="FFFFFF"/>
                <w:sz w:val="20"/>
                <w:szCs w:val="20"/>
              </w:rPr>
              <w:t>Généralités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Permettre le travail à distance quand cela est possible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Envisager un moyen de transport durable pour le transport de l’équipe vers et depuis les lieux de tournage : louer un bus, le covoiturage, les transports publics, le vélo ou la marche, tout en respectant les exigences de l’entreprise de santé et de sécurit</w:t>
            </w:r>
            <w:r>
              <w:rPr>
                <w:sz w:val="20"/>
                <w:szCs w:val="20"/>
              </w:rPr>
              <w:t>é et de santé publique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Envisager d'organiser des réunions virtuelles ou de faire des visites virtuelles sur place</w:t>
            </w:r>
          </w:p>
        </w:tc>
      </w:tr>
    </w:tbl>
    <w:p w:rsidR="00F92610" w:rsidRDefault="00F92610">
      <w:pPr>
        <w:ind w:left="0" w:firstLine="0"/>
      </w:pPr>
    </w:p>
    <w:tbl>
      <w:tblPr>
        <w:tblStyle w:val="a2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50"/>
      </w:tblGrid>
      <w:tr w:rsidR="00F92610" w:rsidTr="0044074C">
        <w:trPr>
          <w:trHeight w:val="173"/>
        </w:trPr>
        <w:tc>
          <w:tcPr>
            <w:tcW w:w="990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Véhicules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des véhicules hybrides ou électriques quand cela est possible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ce n’est pas possible, choisir un véhicule à faible consommation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 type de véhicule nécessaire - plus le véhicule est grand, plus il consomme d’énergie, engendrant ainsi plus d’émissions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Maximiser le nombre de personnes dans un véhicule, tout en respectant les exigences de l’entreprise de santé et de sécur</w:t>
            </w:r>
            <w:r>
              <w:rPr>
                <w:sz w:val="20"/>
                <w:szCs w:val="20"/>
              </w:rPr>
              <w:t>ité et de santé publique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Limiter le poids des charges à transporter : plus de poids = plus de carburant = plus de carbone émis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Regrouper vos activités en un minimum de déplacements en véhicule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Regrouper les équipements pour effectuer le moins de déplacements de véhicules possible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Mettre en place une politique</w:t>
            </w:r>
            <w:r>
              <w:rPr>
                <w:sz w:val="20"/>
                <w:szCs w:val="20"/>
              </w:rPr>
              <w:t xml:space="preserve"> d’interdiction de </w:t>
            </w:r>
            <w:r>
              <w:rPr>
                <w:sz w:val="20"/>
                <w:szCs w:val="20"/>
              </w:rPr>
              <w:t>laisser les moteurs en marche inutilement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 w:rsidP="00440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</w:t>
            </w:r>
            <w:r>
              <w:rPr>
                <w:sz w:val="20"/>
                <w:szCs w:val="20"/>
              </w:rPr>
              <w:t>aler tout problème nécessitant l'entretien du véhicule afin d'assurer</w:t>
            </w:r>
            <w:r w:rsidR="00440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 conditions de fonctionnement optimales (par exemple, la pression des pneus)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un programme de covoiturage qui propose des véhicules hybrides ou électriques en option</w:t>
            </w:r>
          </w:p>
        </w:tc>
      </w:tr>
    </w:tbl>
    <w:p w:rsidR="00F92610" w:rsidRDefault="00F92610">
      <w:pPr>
        <w:ind w:left="0" w:firstLine="0"/>
      </w:pPr>
    </w:p>
    <w:tbl>
      <w:tblPr>
        <w:tblStyle w:val="a3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65"/>
      </w:tblGrid>
      <w:tr w:rsidR="00F92610" w:rsidTr="0044074C">
        <w:trPr>
          <w:trHeight w:val="133"/>
        </w:trPr>
        <w:tc>
          <w:tcPr>
            <w:tcW w:w="9915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4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Avion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Minimiser les voyages en avion en faisant appel à des équipes de production locales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Réserver des vols sans escale si possible - ce sont les décollages et les atterrissages qui créent la plupart des émissions de carbone d’un avion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Limiter le nombre de p</w:t>
            </w:r>
            <w:r>
              <w:rPr>
                <w:sz w:val="20"/>
                <w:szCs w:val="20"/>
              </w:rPr>
              <w:t>assagers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des modes de transport alternatifs (par exemple, le bus ou le train)</w:t>
            </w:r>
          </w:p>
        </w:tc>
      </w:tr>
    </w:tbl>
    <w:p w:rsidR="00F92610" w:rsidRDefault="00F92610">
      <w:pPr>
        <w:ind w:left="0" w:firstLine="0"/>
      </w:pPr>
    </w:p>
    <w:tbl>
      <w:tblPr>
        <w:tblStyle w:val="a4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20"/>
      </w:tblGrid>
      <w:tr w:rsidR="00F92610" w:rsidTr="0044074C">
        <w:trPr>
          <w:trHeight w:val="266"/>
        </w:trPr>
        <w:tc>
          <w:tcPr>
            <w:tcW w:w="987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4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Train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Envisager le train plutôt que l’avion : le transport en train est considéré comme plus écologique de Québec à Windsor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:rsidR="00F92610" w:rsidRDefault="00F92610">
      <w:pPr>
        <w:ind w:left="0" w:firstLine="0"/>
        <w:rPr>
          <w:sz w:val="20"/>
          <w:szCs w:val="20"/>
        </w:rPr>
      </w:pPr>
    </w:p>
    <w:tbl>
      <w:tblPr>
        <w:tblStyle w:val="a5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20"/>
      </w:tblGrid>
      <w:tr w:rsidR="00F92610" w:rsidTr="0044074C">
        <w:trPr>
          <w:trHeight w:val="172"/>
        </w:trPr>
        <w:tc>
          <w:tcPr>
            <w:tcW w:w="987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Expédier du matériel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le matériel localement disponible pour réduire les émissions relatives au transport de marchandises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Tenir compte du poids des marchandises : ne transporter que le matériel nécessaire car plus de poids = plus de carburant = plus de carbone émis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Penser à expédier le matériel à l’avance et de le stocker localement jusqu’à ce qu’il soit nécessaire</w:t>
            </w:r>
          </w:p>
        </w:tc>
      </w:tr>
    </w:tbl>
    <w:p w:rsidR="00F92610" w:rsidRDefault="00F92610">
      <w:pPr>
        <w:ind w:left="0" w:firstLine="0"/>
      </w:pPr>
      <w:bookmarkStart w:id="9" w:name="_v42afgyo94mk" w:colFirst="0" w:colLast="0"/>
      <w:bookmarkEnd w:id="9"/>
    </w:p>
    <w:p w:rsidR="00F92610" w:rsidRDefault="001B0098">
      <w:pPr>
        <w:pStyle w:val="Titre2"/>
        <w:ind w:left="0" w:firstLine="0"/>
      </w:pPr>
      <w:r>
        <w:t>Hébergement</w:t>
      </w:r>
    </w:p>
    <w:p w:rsidR="00F92610" w:rsidRDefault="001B0098">
      <w:pPr>
        <w:pStyle w:val="Titre2"/>
        <w:spacing w:before="0"/>
        <w:ind w:left="0" w:firstLine="0"/>
      </w:pPr>
      <w:bookmarkStart w:id="10" w:name="_ypbq2gnrg0qn" w:colFirst="0" w:colLast="0"/>
      <w:bookmarkEnd w:id="10"/>
      <w:r>
        <w:pict>
          <v:rect id="_x0000_i1028" style="width:0;height:1.5pt" o:hralign="center" o:hrstd="t" o:hr="t" fillcolor="#a0a0a0" stroked="f"/>
        </w:pict>
      </w:r>
    </w:p>
    <w:p w:rsidR="00F92610" w:rsidRDefault="00F92610"/>
    <w:tbl>
      <w:tblPr>
        <w:tblStyle w:val="a6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20"/>
      </w:tblGrid>
      <w:tr w:rsidR="00F92610" w:rsidTr="0044074C">
        <w:trPr>
          <w:trHeight w:val="170"/>
        </w:trPr>
        <w:tc>
          <w:tcPr>
            <w:tcW w:w="987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</w:pPr>
            <w:r>
              <w:rPr>
                <w:b/>
                <w:color w:val="FFFFFF"/>
                <w:sz w:val="20"/>
                <w:szCs w:val="20"/>
              </w:rPr>
              <w:t>Généralités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Réserver des hôtels avec un engagement environnemental clair et défini.</w:t>
            </w:r>
          </w:p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Vérifier sur leur site Web si l'hôtel est certifié LEED ou reconnu par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Green Key Global</w:t>
              </w:r>
            </w:hyperlink>
            <w:r>
              <w:rPr>
                <w:sz w:val="20"/>
                <w:szCs w:val="20"/>
              </w:rPr>
              <w:t>.</w:t>
            </w:r>
          </w:p>
          <w:p w:rsidR="00F92610" w:rsidRDefault="001B009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programme LEED évalue les hôtels en fon</w:t>
            </w:r>
            <w:r>
              <w:rPr>
                <w:sz w:val="20"/>
                <w:szCs w:val="20"/>
              </w:rPr>
              <w:t>ction de leur développement durable du site, les économies d’eau, l’efficacité énergétique, la sélection des matériaux, la qualité de l’environnement intérieur et l’innovation dans la conception.</w:t>
            </w:r>
          </w:p>
          <w:p w:rsidR="00F92610" w:rsidRDefault="001B009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Green K</w:t>
              </w:r>
              <w:r>
                <w:rPr>
                  <w:color w:val="1155CC"/>
                  <w:sz w:val="20"/>
                  <w:szCs w:val="20"/>
                  <w:u w:val="single"/>
                </w:rPr>
                <w:t>ey Global</w:t>
              </w:r>
            </w:hyperlink>
            <w:r>
              <w:rPr>
                <w:sz w:val="20"/>
                <w:szCs w:val="20"/>
              </w:rPr>
              <w:t xml:space="preserve"> est le seul organisme de certification environnementale conçue pour le secteur de l’hôtellerie et est reconnu par le Conseil mondial du tourisme durable (GSTC)</w:t>
            </w:r>
          </w:p>
          <w:p w:rsidR="00F92610" w:rsidRDefault="001B009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pouvez également vous renseigner directement sur leur politique environnementale.</w:t>
            </w:r>
            <w:r>
              <w:rPr>
                <w:sz w:val="20"/>
                <w:szCs w:val="20"/>
              </w:rPr>
              <w:t xml:space="preserve"> Cela envoie un message fort : vous décidez de les choisir par rapport à leur éco-responsabilité.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un hébergement à proximité du ou des lieux de tournages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Minimiser l’utilisation d’énergie en baissant le thermostat et en éteignant les lumières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Réutiliser les draps et les serviettes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Éviter l’utilisation d’articles à usage unique : voyager avec des sacs et des bouteilles réutilisables</w:t>
            </w:r>
          </w:p>
        </w:tc>
      </w:tr>
    </w:tbl>
    <w:p w:rsidR="00F92610" w:rsidRDefault="00F92610"/>
    <w:p w:rsidR="00F92610" w:rsidRDefault="001B0098">
      <w:pPr>
        <w:pStyle w:val="Titre2"/>
        <w:ind w:left="0" w:firstLine="0"/>
      </w:pPr>
      <w:bookmarkStart w:id="11" w:name="_drs3smb8bgjv" w:colFirst="0" w:colLast="0"/>
      <w:bookmarkEnd w:id="11"/>
      <w:r>
        <w:br w:type="page"/>
      </w:r>
    </w:p>
    <w:p w:rsidR="00F92610" w:rsidRDefault="001B0098">
      <w:pPr>
        <w:pStyle w:val="Titre2"/>
        <w:ind w:left="0" w:firstLine="0"/>
      </w:pPr>
      <w:bookmarkStart w:id="12" w:name="_gf3paxbf7w55" w:colFirst="0" w:colLast="0"/>
      <w:bookmarkEnd w:id="12"/>
      <w:r>
        <w:lastRenderedPageBreak/>
        <w:t>Lieux</w:t>
      </w:r>
    </w:p>
    <w:p w:rsidR="00F92610" w:rsidRDefault="001B0098">
      <w:pPr>
        <w:pStyle w:val="Titre2"/>
        <w:spacing w:before="0"/>
        <w:ind w:left="0" w:firstLine="0"/>
      </w:pPr>
      <w:bookmarkStart w:id="13" w:name="_e8o07sispo08" w:colFirst="0" w:colLast="0"/>
      <w:bookmarkEnd w:id="13"/>
      <w:r>
        <w:pict>
          <v:rect id="_x0000_i1029" style="width:0;height:1.5pt" o:hralign="center" o:hrstd="t" o:hr="t" fillcolor="#a0a0a0" stroked="f"/>
        </w:pict>
      </w:r>
    </w:p>
    <w:p w:rsidR="00F92610" w:rsidRDefault="001B0098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Pensez aux lieux où la production est tournée et aux espaces dans lesquels votre équipe peut être amenée à travailler. Pensez aux bureaux non destinés au tournage, notamment les salles de contrôle, les salles de montage, les bureaux de production ou les bu</w:t>
      </w:r>
      <w:r>
        <w:rPr>
          <w:sz w:val="20"/>
          <w:szCs w:val="20"/>
        </w:rPr>
        <w:t>reaux à domicile et les espaces de post-production. Pensez également aux espaces de tournage et d'enregistrement tels que les studios de télévision et de radio, les cabines d’enregistrement et autres lieux de tournages.</w:t>
      </w:r>
    </w:p>
    <w:p w:rsidR="00F92610" w:rsidRDefault="00F92610">
      <w:pPr>
        <w:ind w:left="0" w:firstLine="0"/>
      </w:pPr>
    </w:p>
    <w:tbl>
      <w:tblPr>
        <w:tblStyle w:val="a7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390"/>
      </w:tblGrid>
      <w:tr w:rsidR="00F92610" w:rsidTr="0044074C">
        <w:trPr>
          <w:trHeight w:val="29"/>
        </w:trPr>
        <w:tc>
          <w:tcPr>
            <w:tcW w:w="984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</w:pPr>
            <w:r>
              <w:rPr>
                <w:b/>
                <w:color w:val="FFFFFF"/>
                <w:sz w:val="20"/>
                <w:szCs w:val="20"/>
              </w:rPr>
              <w:t>Contrôle de la lumière et de l’util</w:t>
            </w:r>
            <w:r>
              <w:rPr>
                <w:b/>
                <w:color w:val="FFFFFF"/>
                <w:sz w:val="20"/>
                <w:szCs w:val="20"/>
              </w:rPr>
              <w:t>isation de l’énergie des lieux utilisés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en compte le type d’énergie utilisé :</w:t>
            </w:r>
          </w:p>
          <w:p w:rsidR="00F92610" w:rsidRDefault="001B009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choisir</w:t>
            </w:r>
            <w:proofErr w:type="gramEnd"/>
            <w:r>
              <w:rPr>
                <w:sz w:val="20"/>
                <w:szCs w:val="20"/>
              </w:rPr>
              <w:t xml:space="preserve"> des options d’énergies alternative et renouvelable incluant l’énergie solaire, éolienne ou hydroélectrique</w:t>
            </w:r>
          </w:p>
          <w:p w:rsidR="00F92610" w:rsidRDefault="001B0098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éviter</w:t>
            </w:r>
            <w:proofErr w:type="gramEnd"/>
            <w:r>
              <w:rPr>
                <w:sz w:val="20"/>
                <w:szCs w:val="20"/>
              </w:rPr>
              <w:t>, dans la mesure du possible, l'utilisation de l'énergie thermique ou à vapeur, dont l'empreinte carbone est importante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l’éclairage LED, autant que possible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Envisager l'utilisation d'un éclairage alimenté par des piles, si possible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Installer des détecteurs de mouvement, lorsque cela est possible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des équipements et des appareils économes en énergie (c'est-à-dire des équipements qui utilisent moins d</w:t>
            </w:r>
            <w:r>
              <w:rPr>
                <w:sz w:val="20"/>
                <w:szCs w:val="20"/>
              </w:rPr>
              <w:t>'énergie pour réaliser la même fonction)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Veiller à l'utilisation optimale et au bon fonctionnement de l'éclairage et des autres équipements, car un équipement qui fonctionne mal peut en fait consommer plus d'énergie</w:t>
            </w:r>
          </w:p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Inspecter l'équipement avant de l'util</w:t>
            </w:r>
            <w:r>
              <w:rPr>
                <w:sz w:val="20"/>
                <w:szCs w:val="20"/>
              </w:rPr>
              <w:t>iser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les fonctions d'économie d'énergie des équipements et des ordinateurs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des batteries et piles rechargeables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Évaluer votre impact numérique :</w:t>
            </w:r>
          </w:p>
          <w:p w:rsidR="00F92610" w:rsidRDefault="001B00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Éteindre vos équipements à la fin de chaque journée</w:t>
            </w:r>
          </w:p>
          <w:p w:rsidR="00F92610" w:rsidRDefault="001B00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Réduire l’utilisation de la vidéo lors des rencontres virtuelles</w:t>
            </w:r>
          </w:p>
          <w:p w:rsidR="00F92610" w:rsidRDefault="001B00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des liens plutôt que des pièces jointes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Éviter ou limiter l’utilisation de générateurs, en particulier ceux fonctionnant au dies</w:t>
            </w:r>
            <w:r>
              <w:rPr>
                <w:sz w:val="20"/>
                <w:szCs w:val="20"/>
              </w:rPr>
              <w:t>el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vous avez toujours besoin d’une génératrice: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une génératrice ou un chauffage alimenté par une énergie renouvelable (par exemple, électrique, hydrogène, solaire, etc.)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S’assurer d’avoir une trousse d’intervention en cas de déversement disponible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Envisager le biodiesel, si les génératrices die</w:t>
            </w:r>
            <w:r>
              <w:rPr>
                <w:sz w:val="20"/>
                <w:szCs w:val="20"/>
              </w:rPr>
              <w:t>sel sont votre seule option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connecter au réseau électrique local si possible</w:t>
            </w:r>
          </w:p>
        </w:tc>
      </w:tr>
    </w:tbl>
    <w:p w:rsidR="00F92610" w:rsidRDefault="00F92610">
      <w:pPr>
        <w:ind w:left="0" w:firstLine="0"/>
      </w:pPr>
    </w:p>
    <w:p w:rsidR="00F92610" w:rsidRDefault="00F92610">
      <w:pPr>
        <w:ind w:left="0" w:firstLine="0"/>
      </w:pPr>
    </w:p>
    <w:p w:rsidR="00F92610" w:rsidRDefault="00F92610">
      <w:pPr>
        <w:ind w:left="0" w:firstLine="0"/>
      </w:pPr>
    </w:p>
    <w:p w:rsidR="00F92610" w:rsidRDefault="00F92610">
      <w:pPr>
        <w:ind w:left="0" w:firstLine="0"/>
      </w:pPr>
    </w:p>
    <w:p w:rsidR="00F92610" w:rsidRDefault="00F92610">
      <w:pPr>
        <w:ind w:left="0" w:firstLine="0"/>
      </w:pPr>
    </w:p>
    <w:p w:rsidR="0044074C" w:rsidRDefault="0044074C">
      <w:pPr>
        <w:ind w:left="0" w:firstLine="0"/>
      </w:pPr>
    </w:p>
    <w:tbl>
      <w:tblPr>
        <w:tblStyle w:val="a8"/>
        <w:tblW w:w="9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375"/>
      </w:tblGrid>
      <w:tr w:rsidR="00F92610" w:rsidTr="0044074C">
        <w:trPr>
          <w:trHeight w:val="20"/>
        </w:trPr>
        <w:tc>
          <w:tcPr>
            <w:tcW w:w="9825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Effets spéciaux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risques environnementaux potentiels avant le tournage</w:t>
            </w:r>
          </w:p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des précautions pour éviter et atténuer les dommages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Éviter de brûler des matériaux à base de pétrole, notamment le plastique, le caoutchouc et le carburant diesel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Limiter la quantité de matières dangereuses achetées, utilisées et stockées sur </w:t>
            </w:r>
            <w:r>
              <w:rPr>
                <w:sz w:val="20"/>
                <w:szCs w:val="20"/>
              </w:rPr>
              <w:t>place</w:t>
            </w:r>
          </w:p>
        </w:tc>
      </w:tr>
    </w:tbl>
    <w:p w:rsidR="00F92610" w:rsidRDefault="00F92610">
      <w:pPr>
        <w:ind w:left="0" w:firstLine="0"/>
      </w:pPr>
    </w:p>
    <w:p w:rsidR="00F92610" w:rsidRDefault="001B0098">
      <w:pPr>
        <w:pStyle w:val="Titre2"/>
        <w:ind w:left="0" w:firstLine="0"/>
      </w:pPr>
      <w:bookmarkStart w:id="14" w:name="_fiswtuqs2w22" w:colFirst="0" w:colLast="0"/>
      <w:bookmarkEnd w:id="14"/>
      <w:r>
        <w:t>Matériaux utilisés</w:t>
      </w:r>
    </w:p>
    <w:p w:rsidR="00F92610" w:rsidRDefault="001B0098">
      <w:pPr>
        <w:pStyle w:val="Titre2"/>
        <w:spacing w:before="0"/>
        <w:ind w:left="0" w:firstLine="0"/>
      </w:pPr>
      <w:bookmarkStart w:id="15" w:name="_ffhiojy6i3fs" w:colFirst="0" w:colLast="0"/>
      <w:bookmarkEnd w:id="15"/>
      <w:r>
        <w:pict>
          <v:rect id="_x0000_i1030" style="width:0;height:1.5pt" o:hralign="center" o:hrstd="t" o:hr="t" fillcolor="#a0a0a0" stroked="f"/>
        </w:pict>
      </w:r>
    </w:p>
    <w:p w:rsidR="00F92610" w:rsidRDefault="001B0098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Évaluez les matériaux utilisés par votre production. La clé pour réduire votre empreinte écologique est de réduire votre consommation.</w:t>
      </w:r>
    </w:p>
    <w:p w:rsidR="00F92610" w:rsidRDefault="00F92610">
      <w:pPr>
        <w:ind w:left="0" w:firstLine="0"/>
      </w:pPr>
    </w:p>
    <w:tbl>
      <w:tblPr>
        <w:tblStyle w:val="a9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20"/>
      </w:tblGrid>
      <w:tr w:rsidR="00F92610" w:rsidTr="0044074C">
        <w:trPr>
          <w:trHeight w:val="115"/>
        </w:trPr>
        <w:tc>
          <w:tcPr>
            <w:tcW w:w="987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</w:pPr>
            <w:r>
              <w:rPr>
                <w:b/>
                <w:color w:val="FFFFFF"/>
                <w:sz w:val="20"/>
                <w:szCs w:val="20"/>
              </w:rPr>
              <w:t>Généralités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S’assurer de ne rien laisser derrière soi et que la zone de production reflète son état de </w:t>
            </w:r>
            <w:proofErr w:type="spellStart"/>
            <w:r>
              <w:rPr>
                <w:sz w:val="20"/>
                <w:szCs w:val="20"/>
              </w:rPr>
              <w:t>pré-production</w:t>
            </w:r>
            <w:proofErr w:type="spellEnd"/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Imprimer seulement si nécessaire - proposer des options numériques ou utiliser des tableaux blancs effaçables ou des tableaux noirs à craie pour </w:t>
            </w:r>
            <w:proofErr w:type="gramStart"/>
            <w:r>
              <w:rPr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>partage</w:t>
            </w:r>
            <w:proofErr w:type="gramEnd"/>
            <w:r>
              <w:rPr>
                <w:sz w:val="20"/>
                <w:szCs w:val="20"/>
              </w:rPr>
              <w:t xml:space="preserve"> d’informations au bureau</w:t>
            </w:r>
          </w:p>
        </w:tc>
      </w:tr>
    </w:tbl>
    <w:p w:rsidR="00F92610" w:rsidRDefault="00F92610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tbl>
      <w:tblPr>
        <w:tblStyle w:val="aa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05"/>
      </w:tblGrid>
      <w:tr w:rsidR="00F92610" w:rsidTr="0044074C">
        <w:trPr>
          <w:trHeight w:val="143"/>
        </w:trPr>
        <w:tc>
          <w:tcPr>
            <w:tcW w:w="9855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4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Construction d’un nouveau plateau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concevoir en tenant compte de la réutilisation afin que les ensembles puissent être réutilisés et que la production de déchets soit réduite au minimum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S'approvisionner localement en matériaux de construction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Rechercher des matériaux avec une certification verte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des matériaux recyclés ou durables (par exemple, du bois certifié FSC, du bambou ou du liège)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Soutenir les produits à contenu recy</w:t>
            </w:r>
            <w:r>
              <w:rPr>
                <w:sz w:val="20"/>
                <w:szCs w:val="20"/>
              </w:rPr>
              <w:t>clé plutôt que ceux fabriqués à partir de matériaux vierges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Pensez à donner vos déchets de bois à un broyeur qui les transformera en paillis pour le jardin</w:t>
            </w:r>
          </w:p>
        </w:tc>
      </w:tr>
    </w:tbl>
    <w:p w:rsidR="00F92610" w:rsidRDefault="00F92610">
      <w:pPr>
        <w:ind w:left="0" w:firstLine="0"/>
      </w:pPr>
    </w:p>
    <w:tbl>
      <w:tblPr>
        <w:tblStyle w:val="ab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390"/>
      </w:tblGrid>
      <w:tr w:rsidR="00F92610" w:rsidTr="0044074C">
        <w:trPr>
          <w:trHeight w:val="141"/>
        </w:trPr>
        <w:tc>
          <w:tcPr>
            <w:tcW w:w="984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4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Textiles et costumes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Louer des costumes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Travailler en collaboration avec des fournisseurs locaux pour équiper les </w:t>
            </w:r>
            <w:proofErr w:type="spellStart"/>
            <w:proofErr w:type="gramStart"/>
            <w:r>
              <w:rPr>
                <w:sz w:val="20"/>
                <w:szCs w:val="20"/>
              </w:rPr>
              <w:t>animateurs.trices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acteurs.trices</w:t>
            </w:r>
            <w:proofErr w:type="spellEnd"/>
            <w:r>
              <w:rPr>
                <w:sz w:val="20"/>
                <w:szCs w:val="20"/>
              </w:rPr>
              <w:t xml:space="preserve"> ou personnalités sur le plateau de tournage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Rechercher des articles usagés dans les magasins d'occasion/friperies</w:t>
            </w:r>
            <w:r>
              <w:rPr>
                <w:sz w:val="20"/>
                <w:szCs w:val="20"/>
              </w:rPr>
              <w:t xml:space="preserve"> plutôt que de les acheter neufs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don des articles à une organisation caritative à la fin de la production ou les réutiliser pour une autre production</w:t>
            </w:r>
          </w:p>
        </w:tc>
      </w:tr>
    </w:tbl>
    <w:p w:rsidR="00F92610" w:rsidRDefault="00F92610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tbl>
      <w:tblPr>
        <w:tblStyle w:val="ac"/>
        <w:tblW w:w="9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375"/>
      </w:tblGrid>
      <w:tr w:rsidR="00F92610" w:rsidTr="0044074C">
        <w:trPr>
          <w:trHeight w:val="85"/>
        </w:trPr>
        <w:tc>
          <w:tcPr>
            <w:tcW w:w="9825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4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Restauration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Acheter local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Engager des traiteurs travaillant avec les producteurs locaux, utilisent des ingrédients de saison et biologiques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 avec des fournisseurs qui proposent des produits du commerce équitable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Limiter le nombre de repas à base de viande et proposer un menu végétarien ou végan : </w:t>
            </w:r>
          </w:p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repas</w:t>
            </w:r>
            <w:proofErr w:type="gramEnd"/>
            <w:r>
              <w:rPr>
                <w:sz w:val="20"/>
                <w:szCs w:val="20"/>
              </w:rPr>
              <w:t xml:space="preserve"> à base de viande = empreinte carbone plus élevée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Réduire le gaspillage alimentaire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Préciser dès le départ à vos traiteurs que vous souhaitez minimiser le gaspill</w:t>
            </w:r>
            <w:r>
              <w:rPr>
                <w:sz w:val="20"/>
                <w:szCs w:val="20"/>
              </w:rPr>
              <w:t>age alimentaire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Obtenir un décompte aussi précis que possible des effectifs avant de passer commande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 la nourriture supplémentaire aux banques alimentaires ou refuges locaux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Réduire les déchets d’emballages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Offrir des collations ou des repas pouvant être consommés sans vaisselle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Acheter en vrac pour éviter les emballages inutiles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Éviter </w:t>
            </w:r>
            <w:proofErr w:type="gramStart"/>
            <w:r>
              <w:rPr>
                <w:sz w:val="20"/>
                <w:szCs w:val="20"/>
              </w:rPr>
              <w:t>les collations emballés</w:t>
            </w:r>
            <w:proofErr w:type="gramEnd"/>
            <w:r>
              <w:rPr>
                <w:sz w:val="20"/>
                <w:szCs w:val="20"/>
              </w:rPr>
              <w:t xml:space="preserve"> individuellement, ou encourager les entreprises proposant des emballages biodégradables ou compostab</w:t>
            </w:r>
            <w:r>
              <w:rPr>
                <w:sz w:val="20"/>
                <w:szCs w:val="20"/>
              </w:rPr>
              <w:t xml:space="preserve">les, tout en respectant les exigences de l’entreprise de santé et de sécurité et de santé publique 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Éviter le plastique à usage unique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fixer comme objectif de ne pas utiliser de plastique à usage unique sur le plateau de tournage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Remplacer les produits jetables par des produits réutilisables, recyclables ou compostables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Distribuer des bouteilles d’eau réutilisables et mettre à disposition des stations de remplissage</w:t>
            </w:r>
          </w:p>
          <w:p w:rsidR="00F92610" w:rsidRDefault="001B009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Envisager d’utiliser du matériel en verre ou en métal (y compris l</w:t>
            </w:r>
            <w:r>
              <w:rPr>
                <w:sz w:val="20"/>
                <w:szCs w:val="20"/>
              </w:rPr>
              <w:t>’aluminium) qui peut être recyclé à l’infini</w:t>
            </w:r>
          </w:p>
        </w:tc>
      </w:tr>
    </w:tbl>
    <w:p w:rsidR="00F92610" w:rsidRDefault="00F92610" w:rsidP="0044074C">
      <w:pPr>
        <w:ind w:left="0" w:firstLine="0"/>
      </w:pPr>
      <w:bookmarkStart w:id="16" w:name="_m85ktdjabbll" w:colFirst="0" w:colLast="0"/>
      <w:bookmarkEnd w:id="16"/>
    </w:p>
    <w:p w:rsidR="00F92610" w:rsidRDefault="001B0098">
      <w:pPr>
        <w:pStyle w:val="Titre2"/>
        <w:ind w:left="0" w:firstLine="0"/>
      </w:pPr>
      <w:bookmarkStart w:id="17" w:name="_p6hi5sgg4gq" w:colFirst="0" w:colLast="0"/>
      <w:bookmarkEnd w:id="17"/>
      <w:r>
        <w:t>Élimination des matériaux et gestion des déchets</w:t>
      </w:r>
    </w:p>
    <w:p w:rsidR="00F92610" w:rsidRDefault="001B0098">
      <w:pPr>
        <w:pStyle w:val="Titre2"/>
        <w:spacing w:before="0"/>
        <w:ind w:left="0" w:firstLine="0"/>
      </w:pPr>
      <w:bookmarkStart w:id="18" w:name="_1w7h9xxfl3ef" w:colFirst="0" w:colLast="0"/>
      <w:bookmarkEnd w:id="18"/>
      <w:r>
        <w:pict>
          <v:rect id="_x0000_i1031" style="width:0;height:1.5pt" o:hralign="center" o:hrstd="t" o:hr="t" fillcolor="#a0a0a0" stroked="f"/>
        </w:pict>
      </w:r>
    </w:p>
    <w:p w:rsidR="00F92610" w:rsidRDefault="00F92610"/>
    <w:tbl>
      <w:tblPr>
        <w:tblStyle w:val="ad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20"/>
      </w:tblGrid>
      <w:tr w:rsidR="00F92610" w:rsidTr="0044074C">
        <w:trPr>
          <w:trHeight w:val="78"/>
        </w:trPr>
        <w:tc>
          <w:tcPr>
            <w:tcW w:w="9870" w:type="dxa"/>
            <w:gridSpan w:val="2"/>
            <w:shd w:val="clear" w:color="auto" w:fill="00AD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ind w:left="425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Prise en compte des réglementations municipales et des opportunités locales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Minimiser le nombre de conteneurs à ordures; maximiser le nombre de bacs de recyclage ou de compostage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Trier vos déchets dans les poubelles appropriées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Recycler les déchets électroniques, cellulaires et piles usagées conformément aux procédures de l’en</w:t>
            </w:r>
            <w:r>
              <w:rPr>
                <w:sz w:val="20"/>
                <w:szCs w:val="20"/>
              </w:rPr>
              <w:t>treprise</w:t>
            </w:r>
          </w:p>
        </w:tc>
      </w:tr>
    </w:tbl>
    <w:p w:rsidR="00F92610" w:rsidRDefault="001B0098">
      <w:pPr>
        <w:pStyle w:val="Titre1"/>
        <w:spacing w:before="480"/>
      </w:pPr>
      <w:bookmarkStart w:id="19" w:name="_r9zd2spcnjhm" w:colFirst="0" w:colLast="0"/>
      <w:bookmarkEnd w:id="19"/>
      <w:r>
        <w:br w:type="page"/>
      </w:r>
    </w:p>
    <w:p w:rsidR="00F92610" w:rsidRDefault="001B0098">
      <w:pPr>
        <w:pStyle w:val="Titre1"/>
        <w:spacing w:before="480"/>
      </w:pPr>
      <w:bookmarkStart w:id="20" w:name="_py4u5rtustym" w:colFirst="0" w:colLast="0"/>
      <w:bookmarkEnd w:id="20"/>
      <w:r>
        <w:lastRenderedPageBreak/>
        <w:t>Post-production</w:t>
      </w:r>
    </w:p>
    <w:p w:rsidR="00F92610" w:rsidRDefault="001B0098">
      <w:pPr>
        <w:pStyle w:val="Titre2"/>
        <w:spacing w:before="0"/>
        <w:ind w:left="0" w:firstLine="0"/>
      </w:pPr>
      <w:bookmarkStart w:id="21" w:name="_cuuydn488b1s" w:colFirst="0" w:colLast="0"/>
      <w:bookmarkEnd w:id="21"/>
      <w:r>
        <w:pict>
          <v:rect id="_x0000_i1032" style="width:0;height:1.5pt" o:hralign="center" o:hrstd="t" o:hr="t" fillcolor="#a0a0a0" stroked="f"/>
        </w:pict>
      </w:r>
    </w:p>
    <w:p w:rsidR="00F92610" w:rsidRDefault="00F92610"/>
    <w:tbl>
      <w:tblPr>
        <w:tblStyle w:val="ae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405"/>
      </w:tblGrid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des systèmes de flux de travail de post-production numérique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Utiliser les fonctions d'économie d'énergie des équipements et des ordinateurs</w:t>
            </w:r>
          </w:p>
        </w:tc>
      </w:tr>
      <w:tr w:rsidR="00F92610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F9261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610" w:rsidRDefault="001B009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votre équipement hors-tension</w:t>
            </w:r>
          </w:p>
        </w:tc>
      </w:tr>
    </w:tbl>
    <w:p w:rsidR="00F92610" w:rsidRDefault="00F92610"/>
    <w:p w:rsidR="00F92610" w:rsidRDefault="00F92610">
      <w:pPr>
        <w:ind w:left="0" w:firstLine="0"/>
      </w:pPr>
    </w:p>
    <w:p w:rsidR="00F92610" w:rsidRDefault="00F92610">
      <w:pPr>
        <w:ind w:left="0" w:firstLine="0"/>
      </w:pPr>
    </w:p>
    <w:sectPr w:rsidR="00F92610" w:rsidSect="0044074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3" w:right="1162" w:bottom="851" w:left="1133" w:header="720" w:footer="5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98" w:rsidRDefault="001B0098">
      <w:pPr>
        <w:spacing w:line="240" w:lineRule="auto"/>
      </w:pPr>
      <w:r>
        <w:separator/>
      </w:r>
    </w:p>
  </w:endnote>
  <w:endnote w:type="continuationSeparator" w:id="0">
    <w:p w:rsidR="001B0098" w:rsidRDefault="001B0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0" w:rsidRDefault="001B0098">
    <w:pPr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44074C">
      <w:rPr>
        <w:sz w:val="18"/>
        <w:szCs w:val="18"/>
      </w:rPr>
      <w:fldChar w:fldCharType="separate"/>
    </w:r>
    <w:r w:rsidR="0044074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0" w:rsidRDefault="001B0098">
    <w:pPr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44074C">
      <w:rPr>
        <w:sz w:val="18"/>
        <w:szCs w:val="18"/>
      </w:rPr>
      <w:fldChar w:fldCharType="separate"/>
    </w:r>
    <w:r w:rsidR="0044074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98" w:rsidRDefault="001B0098">
      <w:pPr>
        <w:spacing w:line="240" w:lineRule="auto"/>
      </w:pPr>
      <w:r>
        <w:separator/>
      </w:r>
    </w:p>
  </w:footnote>
  <w:footnote w:type="continuationSeparator" w:id="0">
    <w:p w:rsidR="001B0098" w:rsidRDefault="001B0098">
      <w:pPr>
        <w:spacing w:line="240" w:lineRule="auto"/>
      </w:pPr>
      <w:r>
        <w:continuationSeparator/>
      </w:r>
    </w:p>
  </w:footnote>
  <w:footnote w:id="1">
    <w:p w:rsidR="00F92610" w:rsidRDefault="001B0098">
      <w:pPr>
        <w:spacing w:line="240" w:lineRule="auto"/>
        <w:ind w:left="425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Source :</w:t>
      </w:r>
    </w:p>
    <w:p w:rsidR="00F92610" w:rsidRDefault="001B0098">
      <w:pPr>
        <w:spacing w:line="240" w:lineRule="auto"/>
        <w:ind w:left="141" w:firstLine="0"/>
        <w:rPr>
          <w:sz w:val="20"/>
          <w:szCs w:val="20"/>
        </w:rPr>
      </w:pPr>
      <w:hyperlink r:id="rId1">
        <w:r>
          <w:rPr>
            <w:color w:val="1155CC"/>
            <w:sz w:val="16"/>
            <w:szCs w:val="16"/>
            <w:u w:val="single"/>
          </w:rPr>
          <w:t>https://issp.uottawa.ca/en/news/taking-train-across-canada-worse-climate-flying-and-why-government-ought-do-somethi</w:t>
        </w:r>
        <w:r>
          <w:rPr>
            <w:color w:val="1155CC"/>
            <w:sz w:val="16"/>
            <w:szCs w:val="16"/>
            <w:u w:val="single"/>
          </w:rPr>
          <w:t>ng-about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0" w:rsidRDefault="00F92610"/>
  <w:p w:rsidR="00F92610" w:rsidRDefault="00F9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0" w:rsidRDefault="001B0098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-19049</wp:posOffset>
          </wp:positionV>
          <wp:extent cx="519113" cy="493003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113" cy="493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656"/>
    <w:multiLevelType w:val="multilevel"/>
    <w:tmpl w:val="264CA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312922"/>
    <w:multiLevelType w:val="multilevel"/>
    <w:tmpl w:val="6D1E8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30E7E"/>
    <w:multiLevelType w:val="multilevel"/>
    <w:tmpl w:val="447CD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743999"/>
    <w:multiLevelType w:val="multilevel"/>
    <w:tmpl w:val="CF1C2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A41366"/>
    <w:multiLevelType w:val="multilevel"/>
    <w:tmpl w:val="B8286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10"/>
    <w:rsid w:val="001B0098"/>
    <w:rsid w:val="0044074C"/>
    <w:rsid w:val="00F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C5A7"/>
  <w15:docId w15:val="{59DF4C24-D976-41D1-A03D-2992947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2"/>
        <w:szCs w:val="22"/>
        <w:lang w:val="fr-CA" w:eastAsia="fr-CA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/>
      <w:ind w:left="0" w:firstLine="0"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4074C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74C"/>
  </w:style>
  <w:style w:type="paragraph" w:styleId="Pieddepage">
    <w:name w:val="footer"/>
    <w:basedOn w:val="Normal"/>
    <w:link w:val="PieddepageCar"/>
    <w:uiPriority w:val="99"/>
    <w:unhideWhenUsed/>
    <w:rsid w:val="0044074C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keyglobal.com/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enkeyglobal.com/f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sp.uottawa.ca/en/news/taking-train-across-canada-worse-climate-flying-and-why-government-ought-do-something-abou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1634</Words>
  <Characters>8993</Characters>
  <Application>Microsoft Office Word</Application>
  <DocSecurity>0</DocSecurity>
  <Lines>74</Lines>
  <Paragraphs>21</Paragraphs>
  <ScaleCrop>false</ScaleCrop>
  <Company>CBC_RADIO-CANADA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HIRON</cp:lastModifiedBy>
  <cp:revision>2</cp:revision>
  <dcterms:created xsi:type="dcterms:W3CDTF">2023-03-01T18:52:00Z</dcterms:created>
  <dcterms:modified xsi:type="dcterms:W3CDTF">2023-03-01T19:00:00Z</dcterms:modified>
</cp:coreProperties>
</file>